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27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eastAsia="方正小标宋简体" w:cs="仿宋_GB2312" w:hAnsiTheme="majorEastAsia"/>
          <w:strike w:val="0"/>
          <w:color w:val="000000"/>
          <w:sz w:val="44"/>
          <w:szCs w:val="44"/>
          <w:lang w:val="en-US" w:eastAsia="zh-CN"/>
        </w:rPr>
      </w:pPr>
    </w:p>
    <w:p w14:paraId="765E6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hint="default" w:ascii="方正小标宋简体" w:eastAsia="方正小标宋简体" w:cs="仿宋_GB2312" w:hAnsiTheme="majorEastAsia"/>
          <w:strike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仿宋_GB2312" w:hAnsiTheme="majorEastAsia"/>
          <w:strike w:val="0"/>
          <w:color w:val="000000"/>
          <w:sz w:val="44"/>
          <w:szCs w:val="44"/>
          <w:lang w:val="en-US" w:eastAsia="zh-CN"/>
        </w:rPr>
        <w:t>陕西省绿化先进个人事迹材料</w:t>
      </w:r>
    </w:p>
    <w:p w14:paraId="28063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480" w:firstLineChars="1400"/>
        <w:textAlignment w:val="baseline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——洋县林业局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杨建华</w:t>
      </w:r>
    </w:p>
    <w:p w14:paraId="79BCE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杨建华，女，汉族，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sz w:val="32"/>
          <w:szCs w:val="32"/>
        </w:rPr>
        <w:t>岁，1984年3月生，陕西西安人，大学本科学历，2007级省级选调生，中共党员。2022年5月至今任洋县林业局副局长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分管造林绿化、林业生产、重点项目建设、“双招双引”、固定资产投资、人事劳资、财务管理、森林城市创建、省级园林城市创建、古树名木保护管理、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森林保险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</w:t>
      </w:r>
    </w:p>
    <w:p w14:paraId="42763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任职期间</w:t>
      </w:r>
      <w:r>
        <w:rPr>
          <w:rFonts w:hint="eastAsia" w:ascii="仿宋_GB2312" w:hAnsi="仿宋_GB2312" w:eastAsia="仿宋_GB2312" w:cs="仿宋_GB2312"/>
          <w:sz w:val="32"/>
          <w:szCs w:val="32"/>
        </w:rPr>
        <w:t>，该同志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够带头学习贯彻习近平生态文明思想，认真执行党的路线方针政策，模范遵守党纪国法，切实增强“四个意识”，坚定“四个自信”、做到“两个维护”，履职尽责，敢做善为，积极投身洋县绿化造林工作，探索生态资源转化途径，努力实现县域生态资源变资产、资产变资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本、资本变效益的有效价值转化，将绿水青山“好颜值”转化为金山银山“好价值”，让生态涵养大美洋县，让绿色打开洋州致富大门。</w:t>
      </w:r>
    </w:p>
    <w:p w14:paraId="62D91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6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一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持续开展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植树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造林，不断提升生态颜值</w:t>
      </w:r>
    </w:p>
    <w:p w14:paraId="60327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0" w:firstLineChars="25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广泛组织全民义务植树活动，组织和发动机关、企事业单位以及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社会力量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认真开展全民义务植树活动。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以来，累计完成义务植树867万株，义务植树尽责率95%以上。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累计投资83.94万元，用于古树保护抢救复壮工作。</w:t>
      </w:r>
      <w:r>
        <w:rPr>
          <w:rFonts w:hint="eastAsia" w:ascii="仿宋_GB2312" w:hAnsi="仿宋_GB2312" w:eastAsia="仿宋_GB2312" w:cs="仿宋_GB2312"/>
          <w:sz w:val="32"/>
          <w:szCs w:val="32"/>
        </w:rPr>
        <w:t>大力实施林业生态工程项目，先后实施了退耕还林、天然林保护、重点区域绿化、长江防护林、三化一片林森林乡村、重点区域生态保护和修复等重点工程项目，累计完成造林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其中，新建人工林0.73万亩、实施森林抚育1.5万亩、退化林修复1.65万亩、封山育林12.6万亩</w:t>
      </w:r>
      <w:r>
        <w:rPr>
          <w:rFonts w:hint="eastAsia" w:ascii="仿宋_GB2312" w:hAnsi="仿宋_GB2312" w:eastAsia="仿宋_GB2312" w:cs="仿宋_GB2312"/>
          <w:sz w:val="32"/>
          <w:szCs w:val="32"/>
        </w:rPr>
        <w:t>。随着各类林业生态建设项目的深入实施，全县森林数量和质量不断提升。</w:t>
      </w:r>
    </w:p>
    <w:p w14:paraId="19827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二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全力推进国土绿化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助力县域生态发展</w:t>
      </w:r>
    </w:p>
    <w:p w14:paraId="4AB3F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造林绿化与生态旅游相结合，以省道230等景区道路为重点，以长青华阳景区为依托，见缝插针、增绿补绿，努力打造生态长廊。坚持造林绿化与人居环境整治相结合，广泛筹集资金开展生态村和美丽乡村建设，累计实施三化一片林森林乡村项目建设，努力助推乡村生态振兴发展。以“绿化”“洁化”“序化”“美化”“亮化”为目标，全面实施西成高铁和阳安铁路沿线绿化与环境整治，新增加绿化景观面积241亩，积极打造“生态洋县”靓丽名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建设省级森林康养基地1个，建设森林村落60个，建设以观赏牡丹园、田园风情蜂蜜产品、有机食用菌、银杏全食疗、有机蓝莓采摘为主的生态服务体验园5个，吸引县内外游客500万人次以上。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持续推进森林城市建设，推动森林进机关、进学校、进社区、进园区，广泛建设“小微绿地”和“口袋公园”，中心城区景观化明显，得到了社会各界的一致好评。</w:t>
      </w:r>
    </w:p>
    <w:p w14:paraId="38C93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6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大力发展涉林产业，助推县域经济发展</w:t>
      </w:r>
    </w:p>
    <w:p w14:paraId="07EEA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全县林下经济总面积达6.2万亩，年产值突破2.1亿元，产业结构已从单一的林菌、</w:t>
      </w:r>
      <w:bookmarkStart w:id="0" w:name="OLE_LINK7"/>
      <w:bookmarkStart w:id="1" w:name="OLE_LINK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林蜂等向林药、林菌、林禽、林蜂、林特等多元化发展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在特色种植方面，新增林下黄精、淫羊藿、猪苓、高山黄连等道地药材种植18000余亩。在特色养殖方面，茅坪林麝养殖一期规模达370头（二期即将建成投产）；磨子桥林下梅花鹿种鹿存栏近100头；溢水镇林下有机鸡存栏4000余只。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在创新试点方面，磨子桥镇碧根果种植面积从试种100株扩展至200亩，成为西北地区首家集种质保藏、丰产示范、品种创新、快速繁育为一体的碧根果产学研基地，目前全县基本形成了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高山黄连+中低山天麻、猪苓、淫羊藿+林缘养殖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的林下经济发展空间布局。</w:t>
      </w:r>
    </w:p>
    <w:p w14:paraId="4FA75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36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不断强化资源管理，切实保护绿化成果</w:t>
      </w:r>
    </w:p>
    <w:p w14:paraId="5B76A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守生态红线、强化底线思维，以全面推行林长制为抓手，坚持依法行政，强化依法治林，严厉打击各类破坏森林资源违法犯罪行为，森林卫片问题点位数量逐年呈现明显下降趋势。认真开展林业有害生物防治和森林防火，“两防工作”成效显著。严格落实森林防火监管职责，严格执行森林防火24小时值班制度和野外用火审批制度，全县874名生态护林员认真开展巡山防护，森林防火常抓不懈，实现连续20年无较大森林火灾发生。</w:t>
      </w:r>
    </w:p>
    <w:p w14:paraId="19DFD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736271-603E-42C9-8468-AD71F79DF7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2B21B3A-8DEC-49DE-973A-33201B18A9FC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C993128-608B-4E3C-A0A9-903B415DD35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6A180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BDF71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BDF71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A2303"/>
    <w:rsid w:val="0936201F"/>
    <w:rsid w:val="1D7526B7"/>
    <w:rsid w:val="31304D80"/>
    <w:rsid w:val="47AA2303"/>
    <w:rsid w:val="73850A93"/>
    <w:rsid w:val="76AB3650"/>
    <w:rsid w:val="7AA8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Times New Roman" w:hAnsi="Times New Roman" w:eastAsia="宋体" w:cs="Times New Roman"/>
      <w:szCs w:val="22"/>
    </w:rPr>
  </w:style>
  <w:style w:type="paragraph" w:styleId="4">
    <w:name w:val="Body Text"/>
    <w:basedOn w:val="1"/>
    <w:next w:val="1"/>
    <w:qFormat/>
    <w:uiPriority w:val="0"/>
    <w:pPr>
      <w:spacing w:before="100" w:beforeAutospacing="1"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15"/>
    <w:basedOn w:val="8"/>
    <w:qFormat/>
    <w:uiPriority w:val="0"/>
    <w:rPr>
      <w:rFonts w:hint="default" w:ascii="Calibri" w:hAnsi="Calibri" w:cs="Calibri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1493</Words>
  <Characters>1556</Characters>
  <Lines>0</Lines>
  <Paragraphs>0</Paragraphs>
  <TotalTime>0</TotalTime>
  <ScaleCrop>false</ScaleCrop>
  <LinksUpToDate>false</LinksUpToDate>
  <CharactersWithSpaces>1557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2026-02-05T06:40:00Z</dcterms:created>
  <dc:creator>暖笑无殇</dc:creator>
  <cp:lastModifiedBy>破碎的盔甲</cp:lastModifiedBy>
  <dcterms:modified xsi:type="dcterms:W3CDTF">2026-03-10T08:28:44Z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B61C44EF4600437684AFF87DCA1BD763</vt:lpwstr>
  </property>
  <property fmtid="{D5CDD505-2E9C-101B-9397-08002B2CF9AE}" pid="4" name="KSOTemplateDocerSaveRecord">
    <vt:lpwstr>eyJoZGlkIjoiYjM2ZTcyMGE3NTZiYjdjMmZhNzA2MzAxMzMwMTc5OTMiLCJ1c2VySWQiOiI1OTA2MjAyMjAifQ==</vt:lpwstr>
  </property>
</Properties>
</file>