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EE0A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</w:pPr>
      <w:bookmarkStart w:id="0" w:name="OLE_LINK1"/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植绿秦巴 实干担当</w:t>
      </w:r>
    </w:p>
    <w:p w14:paraId="1598F3BD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76" w:lineRule="exact"/>
        <w:jc w:val="center"/>
        <w:textAlignment w:val="auto"/>
        <w:outlineLvl w:val="9"/>
        <w:rPr>
          <w:rFonts w:hint="default" w:ascii="楷体_GB2312" w:hAnsi="楷体_GB2312" w:eastAsia="楷体_GB2312" w:cs="楷体_GB2312"/>
          <w:b w:val="0"/>
          <w:bCs w:val="0"/>
          <w:kern w:val="44"/>
          <w:sz w:val="32"/>
          <w:szCs w:val="32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kern w:val="44"/>
          <w:sz w:val="32"/>
          <w:szCs w:val="32"/>
          <w:lang w:val="en-US" w:eastAsia="zh-CN" w:bidi="ar"/>
        </w:rPr>
        <w:t>镇巴县林业局李兆鹤</w:t>
      </w:r>
    </w:p>
    <w:p w14:paraId="78C60BB7">
      <w:pPr>
        <w:spacing w:line="596" w:lineRule="exact"/>
        <w:ind w:firstLine="641"/>
        <w:rPr>
          <w:rFonts w:ascii="仿宋_GB2312" w:hAnsi="宋体" w:eastAsia="仿宋_GB2312" w:cs="宋体"/>
          <w:kern w:val="0"/>
          <w:sz w:val="32"/>
          <w:szCs w:val="32"/>
        </w:rPr>
      </w:pPr>
      <w:bookmarkStart w:id="1" w:name="OLE_LINK8"/>
      <w:bookmarkStart w:id="2" w:name="OLE_LINK13"/>
      <w:r>
        <w:rPr>
          <w:rFonts w:hint="eastAsia" w:ascii="仿宋_GB2312" w:hAnsi="宋体" w:eastAsia="仿宋_GB2312" w:cs="宋体"/>
          <w:kern w:val="0"/>
          <w:sz w:val="32"/>
          <w:szCs w:val="32"/>
        </w:rPr>
        <w:t>李兆鹤，现任镇巴县林业局生产产业股负责人，深耕林业一线二十余年，始终以 “植绿护绿、筑牢秦巴生态屏障” 为己任，扎根秦巴山区腹地，聚焦国土绿化、退化林修复、森林抚育、困难立地造林等核心任务，在项目谋划、技术攻坚、质量管控、成效巩固等方面攻坚克难，用脚步丈量每一块小班地块，用汗水浇灌满山绿意。近五年，他带领股室技术人员全力推动完成造林绿化29.58 万亩，助力全县森林覆盖率稳步攀升至 72.2%，林分结构持续优化，森林资源质量显著提升。</w:t>
      </w:r>
    </w:p>
    <w:bookmarkEnd w:id="1"/>
    <w:bookmarkEnd w:id="2"/>
    <w:p w14:paraId="50C35E57">
      <w:pPr>
        <w:spacing w:line="596" w:lineRule="exact"/>
        <w:ind w:firstLine="641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kern w:val="0"/>
          <w:sz w:val="32"/>
          <w:szCs w:val="32"/>
        </w:rPr>
        <w:t>锚定短板破难题，筑牢生态修复根基。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镇巴县地处秦巴山区腹地，地形复杂、坡地居多，部分区域土壤贫瘠、石砾含量高、水源涵养能力弱，给困难立地造林项目带来极大挑战。作为项目核心推动者，李兆鹤主动扛起责任，一方面牵头组建技术攻坚小组，首先在ARCGIS软件上筛选出符合实施条件的地块，再深入现场开展立地条件调查，详细记录土壤质地、气候条件、坡度朝向、水源分布等基础数据，建立涵盖立地类型、适宜树种、造林模式的完整档案，为作业设计优化、地块精准施策提供支撑；另一方面针对困难立地造林瓶颈，多次赴周边县区考察取经，确定了刺槐、柏木、黄檗等耐旱耐瘠薄乡土树种，从源头保障造林苗木质量。同时创新推广“</w:t>
      </w:r>
      <w:bookmarkStart w:id="3" w:name="OLE_LINK11"/>
      <w:bookmarkStart w:id="4" w:name="OLE_LINK12"/>
      <w:r>
        <w:rPr>
          <w:rFonts w:hint="eastAsia" w:ascii="仿宋_GB2312" w:hAnsi="宋体" w:eastAsia="仿宋_GB2312" w:cs="宋体"/>
          <w:kern w:val="0"/>
          <w:sz w:val="32"/>
          <w:szCs w:val="32"/>
        </w:rPr>
        <w:t>保水剂蘸根+GGR6灌根</w:t>
      </w:r>
      <w:bookmarkEnd w:id="3"/>
      <w:bookmarkEnd w:id="4"/>
      <w:r>
        <w:rPr>
          <w:rFonts w:hint="eastAsia" w:ascii="仿宋_GB2312" w:hAnsi="宋体" w:eastAsia="仿宋_GB2312" w:cs="宋体"/>
          <w:kern w:val="0"/>
          <w:sz w:val="32"/>
          <w:szCs w:val="32"/>
        </w:rPr>
        <w:t>”“鱼鳞坑整地+客土改良”</w:t>
      </w:r>
      <w:bookmarkStart w:id="9" w:name="_GoBack"/>
      <w:bookmarkEnd w:id="9"/>
      <w:r>
        <w:rPr>
          <w:rFonts w:hint="eastAsia" w:ascii="仿宋_GB2312" w:hAnsi="宋体" w:eastAsia="仿宋_GB2312" w:cs="宋体"/>
          <w:kern w:val="0"/>
          <w:sz w:val="32"/>
          <w:szCs w:val="32"/>
        </w:rPr>
        <w:t>等技术模式，严格落实苗木检验等关键环节，将全县造林苗木成活率从75%提升至90%以上，切实破解了立地条件差、施工质量难保障的突出问题。</w:t>
      </w:r>
    </w:p>
    <w:p w14:paraId="187B05AE">
      <w:pPr>
        <w:spacing w:line="596" w:lineRule="exact"/>
        <w:ind w:firstLine="641"/>
        <w:rPr>
          <w:rFonts w:ascii="仿宋_GB2312" w:hAnsi="宋体" w:eastAsia="仿宋_GB2312" w:cs="宋体"/>
          <w:kern w:val="0"/>
          <w:sz w:val="32"/>
          <w:szCs w:val="32"/>
        </w:rPr>
      </w:pPr>
      <w:bookmarkStart w:id="5" w:name="OLE_LINK4"/>
      <w:bookmarkStart w:id="6" w:name="OLE_LINK5"/>
      <w:bookmarkStart w:id="7" w:name="OLE_LINK7"/>
      <w:bookmarkStart w:id="8" w:name="OLE_LINK6"/>
      <w:r>
        <w:rPr>
          <w:rFonts w:hint="eastAsia" w:ascii="仿宋_GB2312" w:hAnsi="宋体" w:eastAsia="仿宋_GB2312" w:cs="宋体"/>
          <w:b/>
          <w:kern w:val="0"/>
          <w:sz w:val="32"/>
          <w:szCs w:val="32"/>
        </w:rPr>
        <w:t>严抓管控提质效，掀起全域护绿热潮</w:t>
      </w:r>
      <w:bookmarkEnd w:id="5"/>
      <w:bookmarkEnd w:id="6"/>
      <w:r>
        <w:rPr>
          <w:rFonts w:hint="eastAsia" w:ascii="仿宋_GB2312" w:hAnsi="宋体" w:eastAsia="仿宋_GB2312" w:cs="宋体"/>
          <w:kern w:val="0"/>
          <w:sz w:val="32"/>
          <w:szCs w:val="32"/>
        </w:rPr>
        <w:t>。造林绿化项目质量关乎生态屏障稳固，李兆鹤始终坚持“严标准、硬措施”推进项目实施，牵头统筹国土绿化、封山育林、退化林修复、森林抚育等重点工程，全程严把施工质量关。针对项目实施中易出现的周界标注模糊、间伐强度不足、干扰木清理不彻底、剩余物处置混乱等问题，他建立“分片包抓、责任到人”工作机制，将任务分解至镇村、细化至小班地块，亲自带队开展全流程监督指导。每年项目实施期间，面对海拔高、道路偏远崎岖的实际困难，他毫无怨言、迎难而上，被荆棘扎破手、抓烂衣物、鞋子里塞满枯草落叶，甚至不慎摔倒，这些都成了家常便饭。他常徒步穿梭于偏远区域，手把手指导施工人员规范开展奥维地图引导标界、干扰木彻底处置、采伐剩余物堆放、苗木蘸浆栽植等工序，现场纠正间伐强度不足、伐桩过高、修枝不规范、剩余物乱堆乱放等问题，坚决守住质量底线。在他的不懈推动下，昔日结构不合理、生态功能弱的林分质量显著改善，森林生态功能进一步增强，成功构建起秦巴山区南部稳固的生态防护带。</w:t>
      </w:r>
    </w:p>
    <w:bookmarkEnd w:id="7"/>
    <w:bookmarkEnd w:id="8"/>
    <w:p w14:paraId="4000BF09">
      <w:pPr>
        <w:spacing w:line="596" w:lineRule="exact"/>
        <w:ind w:firstLine="641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kern w:val="0"/>
          <w:sz w:val="32"/>
          <w:szCs w:val="32"/>
        </w:rPr>
        <w:t>赋能管护促长效，凝聚共建共享合力。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“三分造、七分管”，李兆鹤深知后期管护与技术支撑对造林绿化成效的关键作用，始终坚持“造管并重、技防结合”，推动造林绿化项目长效巩固。他积极推广“营造林+管护+技术”一体化模式，组建专业技术服务队，深入镇村及造林一线开展技术培训50余场次，覆盖群众3千人次，重点讲解困难立地造林管护、封山育林及病虫害防治等实用技术，同步规范成效监测标准地布设，为后期效果评估和项目验收筑牢基础。同时，他注重统筹生态效益与民生效益，依托森林抚育、退化林修复地块，推动建立林下经济示范基地，推广“华山松+淫羊藿”“栎类+天麻”等间作模式，引导群众参与造林护林，既提升林地利用率，又带动群众增收，形成“造林护绿、增收致富”的良性循环。</w:t>
      </w:r>
    </w:p>
    <w:p w14:paraId="3058A3E9">
      <w:pPr>
        <w:spacing w:line="596" w:lineRule="exact"/>
        <w:ind w:firstLine="641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二十余载风雨兼程，李兆鹤以山为友、以林为伴，把青春与热血悉数奉献给秦巴山区生态保护事业。在他的深耕与推动下，镇巴县造林绿化工作成效斐然，成功获评“省级森林城市”“国家生态文明建设示范县”。他无惊天动地的壮举，却在平凡岗位上尽显担当，以严谨细致的态度严把项目质量关，以扎根一线的韧劲破解各类施工难题，以心系群众的情怀推动生态惠民落地，用坚守与汗水书写了秦巴山区植绿护绿的不平凡篇章，为陕西国土绿化事业、秦巴山区生态屏障建设贡献着坚实的基层力量。</w:t>
      </w:r>
    </w:p>
    <w:p w14:paraId="278F1786">
      <w:pPr>
        <w:spacing w:line="596" w:lineRule="exact"/>
        <w:ind w:firstLine="641"/>
        <w:rPr>
          <w:rFonts w:ascii="仿宋_GB2312" w:hAnsi="宋体" w:eastAsia="仿宋_GB2312" w:cs="宋体"/>
          <w:kern w:val="0"/>
          <w:sz w:val="32"/>
          <w:szCs w:val="32"/>
        </w:rPr>
      </w:pPr>
    </w:p>
    <w:p w14:paraId="14BF8820">
      <w:pPr>
        <w:spacing w:line="596" w:lineRule="exact"/>
        <w:ind w:firstLine="641"/>
        <w:rPr>
          <w:rFonts w:ascii="仿宋_GB2312" w:hAnsi="宋体" w:eastAsia="仿宋_GB2312" w:cs="宋体"/>
          <w:kern w:val="0"/>
          <w:sz w:val="32"/>
          <w:szCs w:val="32"/>
        </w:rPr>
      </w:pPr>
    </w:p>
    <w:p w14:paraId="4F85E747">
      <w:pPr>
        <w:spacing w:line="596" w:lineRule="exact"/>
        <w:ind w:firstLine="641"/>
        <w:rPr>
          <w:rFonts w:ascii="仿宋_GB2312" w:hAnsi="宋体" w:eastAsia="仿宋_GB2312" w:cs="宋体"/>
          <w:kern w:val="0"/>
          <w:sz w:val="32"/>
          <w:szCs w:val="32"/>
        </w:rPr>
      </w:pPr>
    </w:p>
    <w:bookmarkEnd w:id="0"/>
    <w:p w14:paraId="07469203">
      <w:pPr>
        <w:spacing w:line="596" w:lineRule="exact"/>
        <w:rPr>
          <w:rFonts w:ascii="仿宋_GB2312" w:eastAsia="仿宋_GB2312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97" w:bottom="1440" w:left="179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Theme="minorEastAsia" w:hAnsiTheme="minorEastAsia"/>
        <w:sz w:val="28"/>
        <w:szCs w:val="28"/>
      </w:rPr>
      <w:id w:val="200402344"/>
      <w:docPartObj>
        <w:docPartGallery w:val="AutoText"/>
      </w:docPartObj>
    </w:sdtPr>
    <w:sdtEndPr>
      <w:rPr>
        <w:rFonts w:asciiTheme="minorEastAsia" w:hAnsiTheme="minorEastAsia"/>
        <w:sz w:val="28"/>
        <w:szCs w:val="28"/>
      </w:rPr>
    </w:sdtEndPr>
    <w:sdtContent>
      <w:p w14:paraId="7886572D">
        <w:pPr>
          <w:pStyle w:val="6"/>
          <w:jc w:val="right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/>
            <w:sz w:val="28"/>
            <w:szCs w:val="28"/>
          </w:rPr>
          <w:t xml:space="preserve"> 1 -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 w14:paraId="2FFD5678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宋体" w:hAnsi="宋体" w:eastAsia="宋体"/>
        <w:sz w:val="28"/>
        <w:szCs w:val="28"/>
      </w:rPr>
      <w:id w:val="200402348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 w14:paraId="072F2FF4">
        <w:pPr>
          <w:pStyle w:val="6"/>
          <w:rPr>
            <w:rFonts w:ascii="宋体" w:hAnsi="宋体" w:eastAsia="宋体"/>
            <w:sz w:val="28"/>
            <w:szCs w:val="28"/>
          </w:rPr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 PAGE   \* MERGEFORMAT 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2 -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  <w:p w14:paraId="6632CC3B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9A4CDF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6CF8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31F443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1C98C1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5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32FB"/>
    <w:rsid w:val="00256140"/>
    <w:rsid w:val="00261CE3"/>
    <w:rsid w:val="00290300"/>
    <w:rsid w:val="002A1D64"/>
    <w:rsid w:val="00392E11"/>
    <w:rsid w:val="003D1FB0"/>
    <w:rsid w:val="0051095E"/>
    <w:rsid w:val="00531B56"/>
    <w:rsid w:val="005844C4"/>
    <w:rsid w:val="005A579F"/>
    <w:rsid w:val="005F3423"/>
    <w:rsid w:val="00634EB9"/>
    <w:rsid w:val="00646DCE"/>
    <w:rsid w:val="006D562F"/>
    <w:rsid w:val="007058EE"/>
    <w:rsid w:val="0070697E"/>
    <w:rsid w:val="00720DB8"/>
    <w:rsid w:val="00790090"/>
    <w:rsid w:val="007A5945"/>
    <w:rsid w:val="007F64B2"/>
    <w:rsid w:val="00811D6E"/>
    <w:rsid w:val="00886743"/>
    <w:rsid w:val="00912D11"/>
    <w:rsid w:val="009D32FB"/>
    <w:rsid w:val="00AB6213"/>
    <w:rsid w:val="00AF4069"/>
    <w:rsid w:val="00B35448"/>
    <w:rsid w:val="00B45B60"/>
    <w:rsid w:val="00B8390B"/>
    <w:rsid w:val="00B9112E"/>
    <w:rsid w:val="00C60C7F"/>
    <w:rsid w:val="00C760F8"/>
    <w:rsid w:val="00CA6486"/>
    <w:rsid w:val="00D264A0"/>
    <w:rsid w:val="00E44422"/>
    <w:rsid w:val="00E6137C"/>
    <w:rsid w:val="00EC6B92"/>
    <w:rsid w:val="00EE2A58"/>
    <w:rsid w:val="00EE2B1C"/>
    <w:rsid w:val="00F82BC8"/>
    <w:rsid w:val="00F86647"/>
    <w:rsid w:val="36146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ind w:left="640" w:leftChars="200"/>
    </w:pPr>
    <w:rPr>
      <w:rFonts w:ascii="Calibri" w:hAnsi="Calibri" w:eastAsia="宋体"/>
      <w:sz w:val="21"/>
      <w:szCs w:val="22"/>
    </w:rPr>
  </w:style>
  <w:style w:type="paragraph" w:styleId="3">
    <w:name w:val="Body Text"/>
    <w:basedOn w:val="1"/>
    <w:qFormat/>
    <w:uiPriority w:val="0"/>
    <w:rPr>
      <w:rFonts w:eastAsia="仿宋_GB2312"/>
      <w:sz w:val="32"/>
    </w:rPr>
  </w:style>
  <w:style w:type="paragraph" w:styleId="5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6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1 Char"/>
    <w:basedOn w:val="9"/>
    <w:link w:val="4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1">
    <w:name w:val="页眉 Char"/>
    <w:basedOn w:val="9"/>
    <w:link w:val="7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6"/>
    <w:uiPriority w:val="99"/>
    <w:rPr>
      <w:sz w:val="18"/>
      <w:szCs w:val="18"/>
    </w:rPr>
  </w:style>
  <w:style w:type="character" w:customStyle="1" w:styleId="13">
    <w:name w:val="批注框文本 Char"/>
    <w:basedOn w:val="9"/>
    <w:link w:val="5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4678A-9E8E-4A2E-AD65-2F6B16B154E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1562</Words>
  <Characters>1584</Characters>
  <Lines>11</Lines>
  <Paragraphs>3</Paragraphs>
  <TotalTime>183</TotalTime>
  <ScaleCrop>false</ScaleCrop>
  <LinksUpToDate>false</LinksUpToDate>
  <CharactersWithSpaces>1589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2026-01-21T06:43:00Z</dcterms:created>
  <dc:creator>李兆鹤</dc:creator>
  <cp:lastModifiedBy>懿轩</cp:lastModifiedBy>
  <cp:lastPrinted>2026-02-09T05:48:54Z</cp:lastPrinted>
  <dcterms:modified xsi:type="dcterms:W3CDTF">2026-02-09T05:49:12Z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eyJoZGlkIjoiM2I2M2FlYjllZTdmMGE2ZmYxYmU0OTBiZWJlYzcwNDAiLCJ1c2VySWQiOiIxMTI0OTI0MjQzIn0=</vt:lpwstr>
  </property>
  <property fmtid="{D5CDD505-2E9C-101B-9397-08002B2CF9AE}" pid="3" name="KSOProductBuildVer">
    <vt:lpwstr>2052-12.1.0.24657</vt:lpwstr>
  </property>
  <property fmtid="{D5CDD505-2E9C-101B-9397-08002B2CF9AE}" pid="4" name="ICV">
    <vt:lpwstr>1E9F6969CA124E649D062659ED4956D8_12</vt:lpwstr>
  </property>
</Properties>
</file>